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F2F70" w14:textId="1D9647CF" w:rsidR="00C36192" w:rsidRPr="00C36192" w:rsidRDefault="00FF0C9B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noProof/>
          <w:sz w:val="24"/>
        </w:rPr>
      </w:pPr>
      <w:r>
        <w:rPr>
          <w:b/>
          <w:noProof/>
          <w:sz w:val="24"/>
        </w:rPr>
        <w:t>3GPP TSG-SA WG3 LI Meeting #74</w:t>
      </w:r>
      <w:r w:rsidR="00614070">
        <w:rPr>
          <w:b/>
          <w:noProof/>
          <w:sz w:val="24"/>
        </w:rPr>
        <w:t>BIS</w:t>
      </w:r>
      <w:r w:rsidR="00C36192" w:rsidRPr="00C36192">
        <w:rPr>
          <w:b/>
          <w:noProof/>
          <w:sz w:val="24"/>
        </w:rPr>
        <w:tab/>
      </w:r>
      <w:r>
        <w:rPr>
          <w:b/>
          <w:noProof/>
          <w:sz w:val="24"/>
        </w:rPr>
        <w:t>s3i190</w:t>
      </w:r>
      <w:r w:rsidR="00D54621">
        <w:rPr>
          <w:b/>
          <w:noProof/>
          <w:sz w:val="24"/>
        </w:rPr>
        <w:t>507</w:t>
      </w:r>
    </w:p>
    <w:p w14:paraId="75753663" w14:textId="21D3D569" w:rsidR="00061E5E" w:rsidRPr="009A1357" w:rsidRDefault="00614070" w:rsidP="009A1357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bCs/>
          <w:sz w:val="22"/>
          <w:szCs w:val="22"/>
          <w:lang w:val="en-CA"/>
        </w:rPr>
      </w:pPr>
      <w:r>
        <w:rPr>
          <w:b/>
          <w:noProof/>
          <w:sz w:val="24"/>
          <w:lang w:val="en-CA"/>
        </w:rPr>
        <w:t>September 4-6, 2019; Basking Ridge, NJ, USA</w:t>
      </w:r>
      <w:r w:rsidR="00C36192" w:rsidRPr="00FF0C9B">
        <w:rPr>
          <w:b/>
          <w:noProof/>
          <w:sz w:val="24"/>
          <w:lang w:val="en-CA"/>
        </w:rPr>
        <w:t xml:space="preserve">    </w:t>
      </w:r>
      <w:r w:rsidR="00061E5E" w:rsidRPr="00FF0C9B">
        <w:rPr>
          <w:b/>
          <w:bCs/>
          <w:sz w:val="22"/>
          <w:szCs w:val="22"/>
          <w:lang w:val="en-CA"/>
        </w:rPr>
        <w:tab/>
      </w:r>
    </w:p>
    <w:p w14:paraId="2CB4700C" w14:textId="275F4561" w:rsidR="00061E5E" w:rsidRPr="00FF0C9B" w:rsidRDefault="00FF0C9B" w:rsidP="00061E5E">
      <w:pPr>
        <w:spacing w:before="120" w:after="120"/>
        <w:ind w:left="2127" w:hanging="2127"/>
        <w:rPr>
          <w:b/>
          <w:sz w:val="22"/>
          <w:szCs w:val="22"/>
          <w:lang w:val="en-CA"/>
        </w:rPr>
      </w:pPr>
      <w:r w:rsidRPr="00FF0C9B">
        <w:rPr>
          <w:b/>
          <w:sz w:val="22"/>
          <w:szCs w:val="22"/>
          <w:lang w:val="en-CA"/>
        </w:rPr>
        <w:t>Source:</w:t>
      </w:r>
      <w:r w:rsidRPr="00FF0C9B">
        <w:rPr>
          <w:b/>
          <w:sz w:val="22"/>
          <w:szCs w:val="22"/>
          <w:lang w:val="en-CA"/>
        </w:rPr>
        <w:tab/>
      </w:r>
      <w:r>
        <w:rPr>
          <w:b/>
          <w:sz w:val="22"/>
          <w:szCs w:val="22"/>
          <w:lang w:val="en-CA"/>
        </w:rPr>
        <w:t>Rogers Communications Canada</w:t>
      </w:r>
      <w:r w:rsidR="00D37273">
        <w:rPr>
          <w:b/>
          <w:sz w:val="22"/>
          <w:szCs w:val="22"/>
          <w:lang w:val="en-CA"/>
        </w:rPr>
        <w:t>, Sprint</w:t>
      </w:r>
      <w:r w:rsidR="00DB33F4">
        <w:rPr>
          <w:b/>
          <w:sz w:val="22"/>
          <w:szCs w:val="22"/>
          <w:lang w:val="en-CA"/>
        </w:rPr>
        <w:t>, AT&amp;T</w:t>
      </w:r>
      <w:r w:rsidR="00CD09DA">
        <w:rPr>
          <w:b/>
          <w:sz w:val="22"/>
          <w:szCs w:val="22"/>
          <w:lang w:val="en-CA"/>
        </w:rPr>
        <w:t>, Verizon</w:t>
      </w:r>
      <w:r w:rsidR="00683C23">
        <w:rPr>
          <w:b/>
          <w:sz w:val="22"/>
          <w:szCs w:val="22"/>
          <w:lang w:val="en-CA"/>
        </w:rPr>
        <w:t>, SS8</w:t>
      </w:r>
      <w:r w:rsidR="00264199">
        <w:rPr>
          <w:b/>
          <w:sz w:val="22"/>
          <w:szCs w:val="22"/>
          <w:lang w:val="en-CA"/>
        </w:rPr>
        <w:t xml:space="preserve"> Networks</w:t>
      </w:r>
    </w:p>
    <w:p w14:paraId="6B88D72D" w14:textId="7DE83B36" w:rsidR="005F4ED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AA2D9A">
        <w:rPr>
          <w:b/>
          <w:sz w:val="22"/>
          <w:szCs w:val="22"/>
        </w:rPr>
        <w:t>Cell Site Report</w:t>
      </w:r>
      <w:r w:rsidR="00614070">
        <w:rPr>
          <w:b/>
          <w:sz w:val="22"/>
          <w:szCs w:val="22"/>
        </w:rPr>
        <w:t xml:space="preserve"> Delivery</w:t>
      </w:r>
      <w:r w:rsidR="00AA2D9A">
        <w:rPr>
          <w:b/>
          <w:sz w:val="22"/>
          <w:szCs w:val="22"/>
        </w:rPr>
        <w:t xml:space="preserve"> Normalization</w:t>
      </w:r>
    </w:p>
    <w:p w14:paraId="7B3BC1A5" w14:textId="611CA0EA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 w:rsidR="00FF0C9B">
        <w:rPr>
          <w:b/>
          <w:sz w:val="22"/>
          <w:szCs w:val="22"/>
        </w:rPr>
        <w:t>D</w:t>
      </w:r>
      <w:r w:rsidR="005F4EDE">
        <w:rPr>
          <w:b/>
          <w:sz w:val="22"/>
          <w:szCs w:val="22"/>
        </w:rPr>
        <w:t>iscussion</w:t>
      </w:r>
    </w:p>
    <w:p w14:paraId="3E80DD4A" w14:textId="15A2AD1D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D54621">
        <w:rPr>
          <w:b/>
          <w:sz w:val="22"/>
          <w:szCs w:val="22"/>
        </w:rPr>
        <w:t>3</w:t>
      </w:r>
      <w:proofErr w:type="gramStart"/>
      <w:r w:rsidR="00D54621">
        <w:rPr>
          <w:b/>
          <w:sz w:val="22"/>
          <w:szCs w:val="22"/>
        </w:rPr>
        <w:t>,</w:t>
      </w:r>
      <w:r w:rsidR="00D6769C">
        <w:rPr>
          <w:b/>
          <w:sz w:val="22"/>
          <w:szCs w:val="22"/>
        </w:rPr>
        <w:t>4</w:t>
      </w:r>
      <w:proofErr w:type="gramEnd"/>
    </w:p>
    <w:p w14:paraId="70B62D95" w14:textId="1364DA2B" w:rsidR="00061E5E" w:rsidRDefault="00061E5E" w:rsidP="00061E5E">
      <w:pPr>
        <w:pBdr>
          <w:bottom w:val="single" w:sz="4" w:space="1" w:color="auto"/>
        </w:pBd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8A13CE">
        <w:rPr>
          <w:b/>
          <w:sz w:val="22"/>
          <w:szCs w:val="22"/>
        </w:rPr>
        <w:t>LI1</w:t>
      </w:r>
      <w:r w:rsidR="00614070">
        <w:rPr>
          <w:b/>
          <w:sz w:val="22"/>
          <w:szCs w:val="22"/>
        </w:rPr>
        <w:t>6</w:t>
      </w:r>
    </w:p>
    <w:p w14:paraId="3D79A91B" w14:textId="0EC1AEF4" w:rsidR="00E6178D" w:rsidRDefault="00061E5E" w:rsidP="005F4EDE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 w:rsidR="005F4EDE">
        <w:rPr>
          <w:rFonts w:eastAsia="MS Mincho"/>
          <w:i/>
          <w:sz w:val="22"/>
          <w:szCs w:val="22"/>
        </w:rPr>
        <w:t xml:space="preserve"> </w:t>
      </w:r>
    </w:p>
    <w:p w14:paraId="0035BBCD" w14:textId="689ADD7E" w:rsidR="00E6178D" w:rsidRDefault="00614070" w:rsidP="005F4EDE">
      <w:pPr>
        <w:pBdr>
          <w:bottom w:val="single" w:sz="4" w:space="1" w:color="auto"/>
        </w:pBdr>
        <w:spacing w:before="120" w:after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Discussion on optimizing the Cell Site Information delivery</w:t>
      </w:r>
      <w:r w:rsidR="00E6178D"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 xml:space="preserve"> The proposed approach is to use a single</w:t>
      </w:r>
      <w:r w:rsidR="00E6178D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delivery format, namely</w:t>
      </w:r>
      <w:r w:rsidR="00C8663F"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z w:val="18"/>
          <w:szCs w:val="18"/>
        </w:rPr>
        <w:t xml:space="preserve"> the </w:t>
      </w:r>
      <w:r w:rsidR="00AA2D9A">
        <w:rPr>
          <w:rFonts w:ascii="Arial" w:hAnsi="Arial" w:cs="Arial"/>
          <w:color w:val="000000"/>
          <w:sz w:val="18"/>
          <w:szCs w:val="18"/>
          <w:u w:val="single"/>
        </w:rPr>
        <w:t>MDF Cell Site</w:t>
      </w:r>
      <w:r w:rsidRPr="00C8663F">
        <w:rPr>
          <w:rFonts w:ascii="Arial" w:hAnsi="Arial" w:cs="Arial"/>
          <w:color w:val="000000"/>
          <w:sz w:val="18"/>
          <w:szCs w:val="18"/>
          <w:u w:val="single"/>
        </w:rPr>
        <w:t xml:space="preserve"> Report</w:t>
      </w:r>
      <w:r>
        <w:rPr>
          <w:rFonts w:ascii="Arial" w:hAnsi="Arial" w:cs="Arial"/>
          <w:color w:val="000000"/>
          <w:sz w:val="18"/>
          <w:szCs w:val="18"/>
        </w:rPr>
        <w:t>, independent</w:t>
      </w:r>
      <w:r w:rsidR="00AA2D9A">
        <w:rPr>
          <w:rFonts w:ascii="Arial" w:hAnsi="Arial" w:cs="Arial"/>
          <w:color w:val="000000"/>
          <w:sz w:val="18"/>
          <w:szCs w:val="18"/>
        </w:rPr>
        <w:t>ly</w:t>
      </w:r>
      <w:r>
        <w:rPr>
          <w:rFonts w:ascii="Arial" w:hAnsi="Arial" w:cs="Arial"/>
          <w:color w:val="000000"/>
          <w:sz w:val="18"/>
          <w:szCs w:val="18"/>
        </w:rPr>
        <w:t xml:space="preserve"> of whether the Cell Site</w:t>
      </w:r>
      <w:r w:rsidR="00AA2D9A">
        <w:rPr>
          <w:rFonts w:ascii="Arial" w:hAnsi="Arial" w:cs="Arial"/>
          <w:color w:val="000000"/>
          <w:sz w:val="18"/>
          <w:szCs w:val="18"/>
        </w:rPr>
        <w:t xml:space="preserve"> Information sends simultaneously </w:t>
      </w:r>
      <w:r>
        <w:rPr>
          <w:rFonts w:ascii="Arial" w:hAnsi="Arial" w:cs="Arial"/>
          <w:color w:val="000000"/>
          <w:sz w:val="18"/>
          <w:szCs w:val="18"/>
        </w:rPr>
        <w:t>with the triggering IRI</w:t>
      </w:r>
      <w:r w:rsidR="00105D7A">
        <w:rPr>
          <w:rFonts w:ascii="Arial" w:hAnsi="Arial" w:cs="Arial"/>
          <w:color w:val="000000"/>
          <w:sz w:val="18"/>
          <w:szCs w:val="18"/>
        </w:rPr>
        <w:t>, or later</w:t>
      </w:r>
      <w:r w:rsidR="00C8663F">
        <w:rPr>
          <w:rFonts w:ascii="Arial" w:hAnsi="Arial" w:cs="Arial"/>
          <w:color w:val="000000"/>
          <w:sz w:val="18"/>
          <w:szCs w:val="18"/>
        </w:rPr>
        <w:t>.</w:t>
      </w:r>
    </w:p>
    <w:p w14:paraId="7F2A40A7" w14:textId="1AB4C9EC" w:rsidR="00FF0C9B" w:rsidRPr="004D23DA" w:rsidRDefault="00C8663F" w:rsidP="004D23DA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The related</w:t>
      </w:r>
      <w:r w:rsidR="00614070">
        <w:rPr>
          <w:rFonts w:ascii="Arial" w:hAnsi="Arial" w:cs="Arial"/>
          <w:color w:val="000000"/>
          <w:sz w:val="18"/>
          <w:szCs w:val="18"/>
        </w:rPr>
        <w:t xml:space="preserve"> Change Request</w:t>
      </w:r>
      <w:r w:rsidR="009A1357">
        <w:rPr>
          <w:rFonts w:ascii="Arial" w:hAnsi="Arial" w:cs="Arial"/>
          <w:color w:val="000000"/>
          <w:sz w:val="18"/>
          <w:szCs w:val="18"/>
        </w:rPr>
        <w:t>s are</w:t>
      </w:r>
      <w:r w:rsidR="00614070">
        <w:rPr>
          <w:rFonts w:ascii="Arial" w:hAnsi="Arial" w:cs="Arial"/>
          <w:color w:val="000000"/>
          <w:sz w:val="18"/>
          <w:szCs w:val="18"/>
        </w:rPr>
        <w:t xml:space="preserve"> in the </w:t>
      </w:r>
      <w:r>
        <w:rPr>
          <w:rFonts w:ascii="Arial" w:hAnsi="Arial" w:cs="Arial"/>
          <w:color w:val="000000"/>
          <w:sz w:val="18"/>
          <w:szCs w:val="18"/>
        </w:rPr>
        <w:t xml:space="preserve">accompanying </w:t>
      </w:r>
      <w:r w:rsidR="00614070">
        <w:rPr>
          <w:rFonts w:ascii="Arial" w:hAnsi="Arial" w:cs="Arial"/>
          <w:color w:val="000000"/>
          <w:sz w:val="18"/>
          <w:szCs w:val="18"/>
        </w:rPr>
        <w:t>TDoc</w:t>
      </w:r>
      <w:r w:rsidR="009A1357">
        <w:rPr>
          <w:rFonts w:ascii="Arial" w:hAnsi="Arial" w:cs="Arial"/>
          <w:color w:val="000000"/>
          <w:sz w:val="18"/>
          <w:szCs w:val="18"/>
        </w:rPr>
        <w:t>s</w:t>
      </w:r>
      <w:r w:rsidR="00D54621">
        <w:rPr>
          <w:rFonts w:ascii="Arial" w:hAnsi="Arial" w:cs="Arial"/>
          <w:color w:val="000000"/>
          <w:sz w:val="18"/>
          <w:szCs w:val="18"/>
        </w:rPr>
        <w:t xml:space="preserve"> s3i190508</w:t>
      </w:r>
      <w:r w:rsidR="009A1357">
        <w:rPr>
          <w:rFonts w:ascii="Arial" w:hAnsi="Arial" w:cs="Arial"/>
          <w:color w:val="000000"/>
          <w:sz w:val="18"/>
          <w:szCs w:val="18"/>
        </w:rPr>
        <w:t xml:space="preserve"> </w:t>
      </w:r>
      <w:r w:rsidR="00512915">
        <w:rPr>
          <w:rFonts w:ascii="Arial" w:hAnsi="Arial" w:cs="Arial"/>
          <w:color w:val="000000"/>
          <w:sz w:val="18"/>
          <w:szCs w:val="18"/>
        </w:rPr>
        <w:t>and s</w:t>
      </w:r>
      <w:bookmarkStart w:id="0" w:name="_GoBack"/>
      <w:bookmarkEnd w:id="0"/>
      <w:r w:rsidR="00D54621">
        <w:rPr>
          <w:rFonts w:ascii="Arial" w:hAnsi="Arial" w:cs="Arial"/>
          <w:color w:val="000000"/>
          <w:sz w:val="18"/>
          <w:szCs w:val="18"/>
        </w:rPr>
        <w:t>3i190509</w:t>
      </w:r>
    </w:p>
    <w:p w14:paraId="7A45665F" w14:textId="2EB1EB9A" w:rsidR="004D23DA" w:rsidRPr="004D23DA" w:rsidRDefault="00FF0C9B" w:rsidP="004D23DA">
      <w:pPr>
        <w:pStyle w:val="Heading2"/>
        <w:ind w:left="0" w:firstLine="0"/>
      </w:pPr>
      <w:r>
        <w:t>Discussion</w:t>
      </w:r>
    </w:p>
    <w:p w14:paraId="6450FBD2" w14:textId="3D485CEA" w:rsidR="00EA779E" w:rsidRDefault="00614070" w:rsidP="00FF0C9B">
      <w:r>
        <w:t>There</w:t>
      </w:r>
      <w:r w:rsidR="00643D60">
        <w:t xml:space="preserve"> are two methods of Cell Site Information deli</w:t>
      </w:r>
      <w:r w:rsidR="00AA2D9A">
        <w:t>ve</w:t>
      </w:r>
      <w:r w:rsidR="009A1357">
        <w:t>ry over LI_HI2 described in the current</w:t>
      </w:r>
      <w:r w:rsidR="00AA2D9A">
        <w:t xml:space="preserve"> </w:t>
      </w:r>
      <w:r w:rsidR="00643D60">
        <w:t>version</w:t>
      </w:r>
      <w:r w:rsidR="009A1357">
        <w:t>s</w:t>
      </w:r>
      <w:r w:rsidR="00643D60">
        <w:t xml:space="preserve"> of </w:t>
      </w:r>
      <w:r w:rsidR="009A1357">
        <w:t xml:space="preserve">TS 33.127 (version 16.0.0) and </w:t>
      </w:r>
      <w:r w:rsidR="00643D60">
        <w:t>TS 33.128</w:t>
      </w:r>
      <w:r w:rsidR="00C8663F">
        <w:t xml:space="preserve"> (version 15.1.0)</w:t>
      </w:r>
      <w:r w:rsidR="00643D60">
        <w:t>.</w:t>
      </w:r>
      <w:r w:rsidR="00C8663F">
        <w:t xml:space="preserve"> </w:t>
      </w:r>
      <w:r w:rsidR="00AA2D9A">
        <w:t>The choice of the</w:t>
      </w:r>
      <w:r w:rsidR="003769F1">
        <w:t xml:space="preserve"> method depends on the availabil</w:t>
      </w:r>
      <w:r w:rsidR="00AA2D9A">
        <w:t>ity of Cell Site Information at</w:t>
      </w:r>
      <w:r w:rsidR="00093127">
        <w:t xml:space="preserve"> </w:t>
      </w:r>
      <w:r w:rsidR="00AA2D9A">
        <w:t>MDF at the time of sending</w:t>
      </w:r>
      <w:r w:rsidR="00093127">
        <w:t xml:space="preserve"> </w:t>
      </w:r>
      <w:r w:rsidR="00AA2D9A">
        <w:t>IRI that triggers</w:t>
      </w:r>
      <w:r w:rsidR="003769F1">
        <w:t xml:space="preserve"> the Cell Site Information</w:t>
      </w:r>
      <w:r w:rsidR="00AA2D9A">
        <w:t xml:space="preserve"> reporting</w:t>
      </w:r>
      <w:r w:rsidR="003769F1">
        <w:t xml:space="preserve">. </w:t>
      </w:r>
    </w:p>
    <w:p w14:paraId="38F25402" w14:textId="4972CE29" w:rsidR="00EA779E" w:rsidRDefault="008918E9" w:rsidP="00FF0C9B">
      <w:r>
        <w:t xml:space="preserve">If the Cell Site Information is readily available at </w:t>
      </w:r>
      <w:r w:rsidR="000B6CC6">
        <w:t xml:space="preserve">the </w:t>
      </w:r>
      <w:r w:rsidR="00CB31FD">
        <w:t>MDF (i.e.,</w:t>
      </w:r>
      <w:r>
        <w:t xml:space="preserve"> fetched</w:t>
      </w:r>
      <w:r w:rsidR="00AA2D9A">
        <w:t xml:space="preserve"> synchronously from a </w:t>
      </w:r>
      <w:r w:rsidR="00EA779E">
        <w:t>data</w:t>
      </w:r>
      <w:r>
        <w:t>base</w:t>
      </w:r>
      <w:r w:rsidR="00CB31FD">
        <w:t xml:space="preserve"> or a cache</w:t>
      </w:r>
      <w:r>
        <w:t xml:space="preserve">), the Cell Site Information is </w:t>
      </w:r>
      <w:r w:rsidR="00EA779E">
        <w:t>encoded as</w:t>
      </w:r>
      <w:r>
        <w:t xml:space="preserve"> a parameter </w:t>
      </w:r>
      <w:r w:rsidR="00093127">
        <w:t>(</w:t>
      </w:r>
      <w:r>
        <w:t>or parameters</w:t>
      </w:r>
      <w:r w:rsidR="00093127">
        <w:t>)</w:t>
      </w:r>
      <w:r>
        <w:t xml:space="preserve"> </w:t>
      </w:r>
      <w:r w:rsidR="00EA779E">
        <w:t xml:space="preserve">of the original IRI message. </w:t>
      </w:r>
      <w:r>
        <w:t xml:space="preserve"> </w:t>
      </w:r>
    </w:p>
    <w:p w14:paraId="4031D1E9" w14:textId="5EAC8B5A" w:rsidR="00C8663F" w:rsidRDefault="00EA779E" w:rsidP="00FF0C9B">
      <w:r>
        <w:t xml:space="preserve">Alternatively, if the Cell Site Information becomes available at </w:t>
      </w:r>
      <w:r w:rsidR="000B6CC6">
        <w:t xml:space="preserve">the </w:t>
      </w:r>
      <w:r>
        <w:t xml:space="preserve">MDF </w:t>
      </w:r>
      <w:r w:rsidR="00106CFA">
        <w:t>only after</w:t>
      </w:r>
      <w:r>
        <w:t xml:space="preserve"> the original IRI message </w:t>
      </w:r>
      <w:r w:rsidR="00106CFA">
        <w:t xml:space="preserve">is sent </w:t>
      </w:r>
      <w:r>
        <w:t xml:space="preserve">(i.e., fetched asynchronously from </w:t>
      </w:r>
      <w:r w:rsidR="00AA2D9A">
        <w:t xml:space="preserve">a </w:t>
      </w:r>
      <w:r>
        <w:t xml:space="preserve">database), the Cell Site Information is delivered in a </w:t>
      </w:r>
      <w:r w:rsidR="000B6CC6">
        <w:t>dedicated</w:t>
      </w:r>
      <w:r>
        <w:t xml:space="preserve"> IRI messag</w:t>
      </w:r>
      <w:r w:rsidR="000B6CC6">
        <w:t>e, MDF C</w:t>
      </w:r>
      <w:r>
        <w:t xml:space="preserve">ell Site Report, </w:t>
      </w:r>
      <w:r w:rsidR="000B6CC6">
        <w:t xml:space="preserve">specifically </w:t>
      </w:r>
      <w:r>
        <w:t xml:space="preserve">designed for this purpose. </w:t>
      </w:r>
    </w:p>
    <w:p w14:paraId="1C6AE499" w14:textId="10053915" w:rsidR="00103794" w:rsidRDefault="009D3FFA" w:rsidP="00FF0C9B">
      <w:r>
        <w:t>While the first method implies the</w:t>
      </w:r>
      <w:r w:rsidR="00103794">
        <w:t xml:space="preserve"> synchronous fetching of the cell site information, the second one is applicable to both synchronous and asynchronous fetching.</w:t>
      </w:r>
    </w:p>
    <w:p w14:paraId="5901F618" w14:textId="181026A8" w:rsidR="0046294F" w:rsidRDefault="005D7D21" w:rsidP="00FF0C9B">
      <w:r>
        <w:t>However, it looks</w:t>
      </w:r>
      <w:r w:rsidR="000B6CC6">
        <w:t xml:space="preserve"> an unnecessary complication to have </w:t>
      </w:r>
      <w:r>
        <w:t xml:space="preserve">two </w:t>
      </w:r>
      <w:r w:rsidR="000B6CC6">
        <w:t>different d</w:t>
      </w:r>
      <w:r>
        <w:t xml:space="preserve">elivery methods. </w:t>
      </w:r>
      <w:r w:rsidR="00B312A0">
        <w:t>Especially, given the limited usability of the synchronous method</w:t>
      </w:r>
      <w:r w:rsidR="00310497">
        <w:t>, which</w:t>
      </w:r>
      <w:r w:rsidR="00103794">
        <w:t xml:space="preserve"> may compromise</w:t>
      </w:r>
      <w:r w:rsidR="00B312A0">
        <w:t xml:space="preserve"> time</w:t>
      </w:r>
      <w:r w:rsidR="00310497">
        <w:t>ly delivery of IRI</w:t>
      </w:r>
      <w:r w:rsidR="00103794">
        <w:t xml:space="preserve"> </w:t>
      </w:r>
      <w:r w:rsidR="00310497">
        <w:t>(</w:t>
      </w:r>
      <w:r w:rsidR="00103794">
        <w:t xml:space="preserve">unless the CSP </w:t>
      </w:r>
      <w:r w:rsidR="0046294F">
        <w:t xml:space="preserve">cell site </w:t>
      </w:r>
      <w:r w:rsidR="00103794">
        <w:t xml:space="preserve">database </w:t>
      </w:r>
      <w:proofErr w:type="gramStart"/>
      <w:r w:rsidR="00103794">
        <w:t>is</w:t>
      </w:r>
      <w:r w:rsidR="003C3A1B">
        <w:t xml:space="preserve"> </w:t>
      </w:r>
      <w:r w:rsidR="00310497">
        <w:t>designed</w:t>
      </w:r>
      <w:proofErr w:type="gramEnd"/>
      <w:r w:rsidR="00310497">
        <w:t xml:space="preserve"> for high availability and performance).</w:t>
      </w:r>
      <w:r w:rsidR="00103794">
        <w:t xml:space="preserve"> </w:t>
      </w:r>
      <w:r w:rsidR="00B312A0">
        <w:t xml:space="preserve"> </w:t>
      </w:r>
    </w:p>
    <w:p w14:paraId="03200872" w14:textId="64136587" w:rsidR="008D45CA" w:rsidRPr="008D45CA" w:rsidRDefault="005D7D21" w:rsidP="00397FC2">
      <w:r>
        <w:t>A</w:t>
      </w:r>
      <w:r w:rsidR="000B6CC6">
        <w:t xml:space="preserve"> single format – the MDF Cell Site Report IRI - </w:t>
      </w:r>
      <w:r w:rsidR="00093127">
        <w:t>can serve</w:t>
      </w:r>
      <w:r w:rsidR="000B6CC6">
        <w:t xml:space="preserve"> both uses cases</w:t>
      </w:r>
      <w:r>
        <w:t xml:space="preserve"> described </w:t>
      </w:r>
      <w:proofErr w:type="gramStart"/>
      <w:r>
        <w:t>above</w:t>
      </w:r>
      <w:proofErr w:type="gramEnd"/>
      <w:r w:rsidR="000B6CC6">
        <w:t xml:space="preserve">. </w:t>
      </w:r>
      <w:r w:rsidR="00FB49A0">
        <w:t>In the synchronous case</w:t>
      </w:r>
      <w:r w:rsidR="00093127">
        <w:t xml:space="preserve">, an MDF Cell Site Report </w:t>
      </w:r>
      <w:r w:rsidR="00AA2D9A">
        <w:t>can be</w:t>
      </w:r>
      <w:r w:rsidR="00106CFA">
        <w:t xml:space="preserve"> </w:t>
      </w:r>
      <w:r w:rsidR="00093127">
        <w:t>sent back-to-back with the original IRI, p</w:t>
      </w:r>
      <w:r w:rsidR="00E31078">
        <w:t>otentially in a single transport PDU</w:t>
      </w:r>
      <w:r w:rsidR="00093127">
        <w:t>.</w:t>
      </w:r>
    </w:p>
    <w:sectPr w:rsidR="008D45CA" w:rsidRPr="008D45C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7BCC6" w14:textId="77777777" w:rsidR="0061111B" w:rsidRDefault="0061111B">
      <w:r>
        <w:separator/>
      </w:r>
    </w:p>
  </w:endnote>
  <w:endnote w:type="continuationSeparator" w:id="0">
    <w:p w14:paraId="305458FF" w14:textId="77777777" w:rsidR="0061111B" w:rsidRDefault="0061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AB39D5" w:rsidRDefault="00AB39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13662" w14:textId="77777777" w:rsidR="0061111B" w:rsidRDefault="0061111B">
      <w:r>
        <w:separator/>
      </w:r>
    </w:p>
  </w:footnote>
  <w:footnote w:type="continuationSeparator" w:id="0">
    <w:p w14:paraId="459F0BF7" w14:textId="77777777" w:rsidR="0061111B" w:rsidRDefault="00611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39AE" w14:textId="3C7ECAA7" w:rsidR="00AB39D5" w:rsidRDefault="00AB39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291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AB39D5" w:rsidRDefault="00AB3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6424B0B"/>
    <w:multiLevelType w:val="hybridMultilevel"/>
    <w:tmpl w:val="33D84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E686E"/>
    <w:multiLevelType w:val="hybridMultilevel"/>
    <w:tmpl w:val="16948B3C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B123F"/>
    <w:multiLevelType w:val="hybridMultilevel"/>
    <w:tmpl w:val="40C641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31ED7"/>
    <w:multiLevelType w:val="hybridMultilevel"/>
    <w:tmpl w:val="28489E60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7047"/>
    <w:multiLevelType w:val="hybridMultilevel"/>
    <w:tmpl w:val="A57E3F74"/>
    <w:lvl w:ilvl="0" w:tplc="8BAE1CD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61EAC"/>
    <w:multiLevelType w:val="hybridMultilevel"/>
    <w:tmpl w:val="E27C5C28"/>
    <w:lvl w:ilvl="0" w:tplc="B98E16B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F907C3"/>
    <w:multiLevelType w:val="hybridMultilevel"/>
    <w:tmpl w:val="CC2A0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0734B"/>
    <w:multiLevelType w:val="hybridMultilevel"/>
    <w:tmpl w:val="8620F4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1500C"/>
    <w:multiLevelType w:val="hybridMultilevel"/>
    <w:tmpl w:val="365CD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D5FAB"/>
    <w:multiLevelType w:val="hybridMultilevel"/>
    <w:tmpl w:val="FAC85F0E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12223"/>
    <w:multiLevelType w:val="hybridMultilevel"/>
    <w:tmpl w:val="A1BC145A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66"/>
    <w:rsid w:val="000026B6"/>
    <w:rsid w:val="0000564A"/>
    <w:rsid w:val="000122AA"/>
    <w:rsid w:val="00015D73"/>
    <w:rsid w:val="00021C40"/>
    <w:rsid w:val="0003038E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554D2"/>
    <w:rsid w:val="00057420"/>
    <w:rsid w:val="00061E5E"/>
    <w:rsid w:val="000655A6"/>
    <w:rsid w:val="000739D4"/>
    <w:rsid w:val="00075A8C"/>
    <w:rsid w:val="00080512"/>
    <w:rsid w:val="000807F5"/>
    <w:rsid w:val="000861F8"/>
    <w:rsid w:val="00087890"/>
    <w:rsid w:val="00090A1D"/>
    <w:rsid w:val="00093127"/>
    <w:rsid w:val="000A578B"/>
    <w:rsid w:val="000B26AC"/>
    <w:rsid w:val="000B3E1F"/>
    <w:rsid w:val="000B410F"/>
    <w:rsid w:val="000B4ADD"/>
    <w:rsid w:val="000B678E"/>
    <w:rsid w:val="000B6CC6"/>
    <w:rsid w:val="000B76B0"/>
    <w:rsid w:val="000C5421"/>
    <w:rsid w:val="000C54E1"/>
    <w:rsid w:val="000D3D18"/>
    <w:rsid w:val="000D58AB"/>
    <w:rsid w:val="000E1BD4"/>
    <w:rsid w:val="000E2B78"/>
    <w:rsid w:val="000E5393"/>
    <w:rsid w:val="000F19F0"/>
    <w:rsid w:val="000F1D1A"/>
    <w:rsid w:val="00103794"/>
    <w:rsid w:val="00103D78"/>
    <w:rsid w:val="00105D7A"/>
    <w:rsid w:val="00106CFA"/>
    <w:rsid w:val="00114E21"/>
    <w:rsid w:val="0012473B"/>
    <w:rsid w:val="00127C99"/>
    <w:rsid w:val="001305D3"/>
    <w:rsid w:val="0013229D"/>
    <w:rsid w:val="00134A4C"/>
    <w:rsid w:val="0013619A"/>
    <w:rsid w:val="0013752E"/>
    <w:rsid w:val="00140EDF"/>
    <w:rsid w:val="0014532C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14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1F3C6D"/>
    <w:rsid w:val="00201D01"/>
    <w:rsid w:val="00206D3F"/>
    <w:rsid w:val="00216F23"/>
    <w:rsid w:val="00225F43"/>
    <w:rsid w:val="0023187D"/>
    <w:rsid w:val="002347A2"/>
    <w:rsid w:val="0024378C"/>
    <w:rsid w:val="00244A31"/>
    <w:rsid w:val="002524C8"/>
    <w:rsid w:val="00254A58"/>
    <w:rsid w:val="00255DE4"/>
    <w:rsid w:val="00264199"/>
    <w:rsid w:val="00264851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0D9E"/>
    <w:rsid w:val="002D2FEC"/>
    <w:rsid w:val="002D418B"/>
    <w:rsid w:val="002E0CF7"/>
    <w:rsid w:val="002E5E03"/>
    <w:rsid w:val="002E638A"/>
    <w:rsid w:val="002F11F1"/>
    <w:rsid w:val="002F1E51"/>
    <w:rsid w:val="00303A3C"/>
    <w:rsid w:val="00303EF2"/>
    <w:rsid w:val="003051FC"/>
    <w:rsid w:val="0030740B"/>
    <w:rsid w:val="00310497"/>
    <w:rsid w:val="0031479E"/>
    <w:rsid w:val="00316747"/>
    <w:rsid w:val="003172DC"/>
    <w:rsid w:val="00323431"/>
    <w:rsid w:val="00324634"/>
    <w:rsid w:val="00326D1B"/>
    <w:rsid w:val="00330F4A"/>
    <w:rsid w:val="00333056"/>
    <w:rsid w:val="0034034D"/>
    <w:rsid w:val="00341AC7"/>
    <w:rsid w:val="003422A2"/>
    <w:rsid w:val="0034344F"/>
    <w:rsid w:val="003456E7"/>
    <w:rsid w:val="003461BA"/>
    <w:rsid w:val="00347874"/>
    <w:rsid w:val="0035462D"/>
    <w:rsid w:val="003560BC"/>
    <w:rsid w:val="00365EA0"/>
    <w:rsid w:val="00371962"/>
    <w:rsid w:val="003736D5"/>
    <w:rsid w:val="003769F1"/>
    <w:rsid w:val="003902C2"/>
    <w:rsid w:val="003912B0"/>
    <w:rsid w:val="00391A62"/>
    <w:rsid w:val="003975DB"/>
    <w:rsid w:val="00397F82"/>
    <w:rsid w:val="00397FC2"/>
    <w:rsid w:val="003A2B72"/>
    <w:rsid w:val="003B0083"/>
    <w:rsid w:val="003B1E11"/>
    <w:rsid w:val="003B5D03"/>
    <w:rsid w:val="003C3971"/>
    <w:rsid w:val="003C3A1B"/>
    <w:rsid w:val="003C51DA"/>
    <w:rsid w:val="003D6FEE"/>
    <w:rsid w:val="003E008B"/>
    <w:rsid w:val="0040011B"/>
    <w:rsid w:val="00411543"/>
    <w:rsid w:val="00411CF2"/>
    <w:rsid w:val="00423F61"/>
    <w:rsid w:val="0042554B"/>
    <w:rsid w:val="00436104"/>
    <w:rsid w:val="004362E5"/>
    <w:rsid w:val="0043684F"/>
    <w:rsid w:val="00440942"/>
    <w:rsid w:val="00452892"/>
    <w:rsid w:val="00454E55"/>
    <w:rsid w:val="00457408"/>
    <w:rsid w:val="0046294F"/>
    <w:rsid w:val="00474C64"/>
    <w:rsid w:val="00475A96"/>
    <w:rsid w:val="004818C8"/>
    <w:rsid w:val="00482A7C"/>
    <w:rsid w:val="004863AE"/>
    <w:rsid w:val="0049031D"/>
    <w:rsid w:val="00491A30"/>
    <w:rsid w:val="004935CF"/>
    <w:rsid w:val="00494F37"/>
    <w:rsid w:val="004961A9"/>
    <w:rsid w:val="004A3521"/>
    <w:rsid w:val="004A3CB1"/>
    <w:rsid w:val="004A3E04"/>
    <w:rsid w:val="004B1E73"/>
    <w:rsid w:val="004D23DA"/>
    <w:rsid w:val="004D3578"/>
    <w:rsid w:val="004D3AC6"/>
    <w:rsid w:val="004E022F"/>
    <w:rsid w:val="004E213A"/>
    <w:rsid w:val="004E7E65"/>
    <w:rsid w:val="004F0365"/>
    <w:rsid w:val="004F2940"/>
    <w:rsid w:val="004F31A7"/>
    <w:rsid w:val="00503520"/>
    <w:rsid w:val="00507D0A"/>
    <w:rsid w:val="00510603"/>
    <w:rsid w:val="005109DB"/>
    <w:rsid w:val="00512915"/>
    <w:rsid w:val="00520E74"/>
    <w:rsid w:val="005268E9"/>
    <w:rsid w:val="005401E9"/>
    <w:rsid w:val="00540D22"/>
    <w:rsid w:val="00543E6C"/>
    <w:rsid w:val="005530F3"/>
    <w:rsid w:val="00554851"/>
    <w:rsid w:val="005578B5"/>
    <w:rsid w:val="00565087"/>
    <w:rsid w:val="005761D2"/>
    <w:rsid w:val="00577003"/>
    <w:rsid w:val="00580400"/>
    <w:rsid w:val="005830F4"/>
    <w:rsid w:val="00583BAF"/>
    <w:rsid w:val="00587D09"/>
    <w:rsid w:val="00594E38"/>
    <w:rsid w:val="005A3C12"/>
    <w:rsid w:val="005A43F6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D7D21"/>
    <w:rsid w:val="005E6272"/>
    <w:rsid w:val="005E7101"/>
    <w:rsid w:val="005E77BC"/>
    <w:rsid w:val="005F2FD1"/>
    <w:rsid w:val="005F4EDE"/>
    <w:rsid w:val="006071B3"/>
    <w:rsid w:val="0061111B"/>
    <w:rsid w:val="00611A8B"/>
    <w:rsid w:val="0061233E"/>
    <w:rsid w:val="00614070"/>
    <w:rsid w:val="00614FDF"/>
    <w:rsid w:val="006203A4"/>
    <w:rsid w:val="00621BC9"/>
    <w:rsid w:val="006268FF"/>
    <w:rsid w:val="006271FC"/>
    <w:rsid w:val="00627AE6"/>
    <w:rsid w:val="00627EFA"/>
    <w:rsid w:val="00630F4F"/>
    <w:rsid w:val="00630FD2"/>
    <w:rsid w:val="00631BED"/>
    <w:rsid w:val="006324EE"/>
    <w:rsid w:val="006361C2"/>
    <w:rsid w:val="006371D3"/>
    <w:rsid w:val="0064120C"/>
    <w:rsid w:val="00643D60"/>
    <w:rsid w:val="00644D90"/>
    <w:rsid w:val="00645823"/>
    <w:rsid w:val="0065179F"/>
    <w:rsid w:val="00653E28"/>
    <w:rsid w:val="006570F1"/>
    <w:rsid w:val="00660CEE"/>
    <w:rsid w:val="00662A62"/>
    <w:rsid w:val="00677A25"/>
    <w:rsid w:val="006808F6"/>
    <w:rsid w:val="00683C23"/>
    <w:rsid w:val="00683D84"/>
    <w:rsid w:val="006A03E0"/>
    <w:rsid w:val="006A0549"/>
    <w:rsid w:val="006A2194"/>
    <w:rsid w:val="006A3A98"/>
    <w:rsid w:val="006A6F6A"/>
    <w:rsid w:val="006B0A88"/>
    <w:rsid w:val="006C1048"/>
    <w:rsid w:val="006C23E6"/>
    <w:rsid w:val="006C29B7"/>
    <w:rsid w:val="006C648B"/>
    <w:rsid w:val="006D2561"/>
    <w:rsid w:val="006D53B3"/>
    <w:rsid w:val="006D5B2C"/>
    <w:rsid w:val="006D731B"/>
    <w:rsid w:val="006E1D49"/>
    <w:rsid w:val="006E5C86"/>
    <w:rsid w:val="006E7E24"/>
    <w:rsid w:val="006F251A"/>
    <w:rsid w:val="00700731"/>
    <w:rsid w:val="00702109"/>
    <w:rsid w:val="00710AE4"/>
    <w:rsid w:val="00722AD3"/>
    <w:rsid w:val="00725E96"/>
    <w:rsid w:val="00734A5B"/>
    <w:rsid w:val="0074030D"/>
    <w:rsid w:val="0074103B"/>
    <w:rsid w:val="00742347"/>
    <w:rsid w:val="0074447A"/>
    <w:rsid w:val="00744E73"/>
    <w:rsid w:val="00744E76"/>
    <w:rsid w:val="00750FFE"/>
    <w:rsid w:val="007513C2"/>
    <w:rsid w:val="0075436B"/>
    <w:rsid w:val="00761A74"/>
    <w:rsid w:val="00761AD7"/>
    <w:rsid w:val="00762799"/>
    <w:rsid w:val="00763E1F"/>
    <w:rsid w:val="0076578F"/>
    <w:rsid w:val="00766B44"/>
    <w:rsid w:val="00771BD3"/>
    <w:rsid w:val="00772991"/>
    <w:rsid w:val="00774173"/>
    <w:rsid w:val="00774EF1"/>
    <w:rsid w:val="00775484"/>
    <w:rsid w:val="00775B23"/>
    <w:rsid w:val="00781F0F"/>
    <w:rsid w:val="007835C9"/>
    <w:rsid w:val="0078482A"/>
    <w:rsid w:val="00785267"/>
    <w:rsid w:val="00791291"/>
    <w:rsid w:val="00795D7B"/>
    <w:rsid w:val="0079748C"/>
    <w:rsid w:val="00797B11"/>
    <w:rsid w:val="007A116E"/>
    <w:rsid w:val="007A44D8"/>
    <w:rsid w:val="007A45D4"/>
    <w:rsid w:val="007B2717"/>
    <w:rsid w:val="007B68B1"/>
    <w:rsid w:val="007C47D7"/>
    <w:rsid w:val="007C567B"/>
    <w:rsid w:val="007C6153"/>
    <w:rsid w:val="007D6E1A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162A2"/>
    <w:rsid w:val="00825298"/>
    <w:rsid w:val="00825B33"/>
    <w:rsid w:val="00826E85"/>
    <w:rsid w:val="0083083D"/>
    <w:rsid w:val="00835585"/>
    <w:rsid w:val="00837E07"/>
    <w:rsid w:val="0084035E"/>
    <w:rsid w:val="0084539C"/>
    <w:rsid w:val="00845EBF"/>
    <w:rsid w:val="008518F1"/>
    <w:rsid w:val="00851FED"/>
    <w:rsid w:val="00871823"/>
    <w:rsid w:val="00871F20"/>
    <w:rsid w:val="0087408E"/>
    <w:rsid w:val="008745FD"/>
    <w:rsid w:val="008768CA"/>
    <w:rsid w:val="008779AF"/>
    <w:rsid w:val="00882D1A"/>
    <w:rsid w:val="008868B6"/>
    <w:rsid w:val="008907BD"/>
    <w:rsid w:val="00890C37"/>
    <w:rsid w:val="008918E9"/>
    <w:rsid w:val="00896BA0"/>
    <w:rsid w:val="008A13CE"/>
    <w:rsid w:val="008A25BB"/>
    <w:rsid w:val="008A6FF6"/>
    <w:rsid w:val="008A7857"/>
    <w:rsid w:val="008B020E"/>
    <w:rsid w:val="008B2123"/>
    <w:rsid w:val="008B2446"/>
    <w:rsid w:val="008B7101"/>
    <w:rsid w:val="008D45CA"/>
    <w:rsid w:val="008D5B11"/>
    <w:rsid w:val="008E1E79"/>
    <w:rsid w:val="008E2BC2"/>
    <w:rsid w:val="008E4E76"/>
    <w:rsid w:val="008E5261"/>
    <w:rsid w:val="008F184E"/>
    <w:rsid w:val="00901EDD"/>
    <w:rsid w:val="0090271F"/>
    <w:rsid w:val="00902E23"/>
    <w:rsid w:val="00903932"/>
    <w:rsid w:val="00906B6A"/>
    <w:rsid w:val="0091348E"/>
    <w:rsid w:val="009166F4"/>
    <w:rsid w:val="009175B1"/>
    <w:rsid w:val="00917CCB"/>
    <w:rsid w:val="00920B60"/>
    <w:rsid w:val="00924D95"/>
    <w:rsid w:val="0093128A"/>
    <w:rsid w:val="00935F0A"/>
    <w:rsid w:val="00942EC2"/>
    <w:rsid w:val="00947007"/>
    <w:rsid w:val="00952FC2"/>
    <w:rsid w:val="00954069"/>
    <w:rsid w:val="0095740D"/>
    <w:rsid w:val="00971D52"/>
    <w:rsid w:val="00973531"/>
    <w:rsid w:val="009861C7"/>
    <w:rsid w:val="00995237"/>
    <w:rsid w:val="009A07B7"/>
    <w:rsid w:val="009A082C"/>
    <w:rsid w:val="009A1357"/>
    <w:rsid w:val="009B1A47"/>
    <w:rsid w:val="009B2284"/>
    <w:rsid w:val="009B31DC"/>
    <w:rsid w:val="009B32FC"/>
    <w:rsid w:val="009B38E3"/>
    <w:rsid w:val="009B5CB4"/>
    <w:rsid w:val="009C5DF8"/>
    <w:rsid w:val="009C7738"/>
    <w:rsid w:val="009D16F8"/>
    <w:rsid w:val="009D1FEC"/>
    <w:rsid w:val="009D3FFA"/>
    <w:rsid w:val="009E4379"/>
    <w:rsid w:val="009E4EDB"/>
    <w:rsid w:val="009F37B7"/>
    <w:rsid w:val="00A04A4B"/>
    <w:rsid w:val="00A10F02"/>
    <w:rsid w:val="00A148EF"/>
    <w:rsid w:val="00A164B4"/>
    <w:rsid w:val="00A16AA9"/>
    <w:rsid w:val="00A214E7"/>
    <w:rsid w:val="00A24052"/>
    <w:rsid w:val="00A25D84"/>
    <w:rsid w:val="00A37C79"/>
    <w:rsid w:val="00A41CE3"/>
    <w:rsid w:val="00A47183"/>
    <w:rsid w:val="00A5118F"/>
    <w:rsid w:val="00A532D3"/>
    <w:rsid w:val="00A53724"/>
    <w:rsid w:val="00A613E3"/>
    <w:rsid w:val="00A627B1"/>
    <w:rsid w:val="00A65DB1"/>
    <w:rsid w:val="00A66DAD"/>
    <w:rsid w:val="00A67795"/>
    <w:rsid w:val="00A717E5"/>
    <w:rsid w:val="00A74CB0"/>
    <w:rsid w:val="00A750CC"/>
    <w:rsid w:val="00A75BBB"/>
    <w:rsid w:val="00A75C0D"/>
    <w:rsid w:val="00A7671A"/>
    <w:rsid w:val="00A8044B"/>
    <w:rsid w:val="00A81017"/>
    <w:rsid w:val="00A82346"/>
    <w:rsid w:val="00A82F14"/>
    <w:rsid w:val="00A846E7"/>
    <w:rsid w:val="00A91AB5"/>
    <w:rsid w:val="00A92ADC"/>
    <w:rsid w:val="00A92ED3"/>
    <w:rsid w:val="00A94526"/>
    <w:rsid w:val="00A96316"/>
    <w:rsid w:val="00AA2D9A"/>
    <w:rsid w:val="00AB39D5"/>
    <w:rsid w:val="00AB48F3"/>
    <w:rsid w:val="00AB7956"/>
    <w:rsid w:val="00AC6557"/>
    <w:rsid w:val="00AC7140"/>
    <w:rsid w:val="00AD2E84"/>
    <w:rsid w:val="00AD6A8D"/>
    <w:rsid w:val="00AD7A3E"/>
    <w:rsid w:val="00AF6F54"/>
    <w:rsid w:val="00B00041"/>
    <w:rsid w:val="00B048DE"/>
    <w:rsid w:val="00B15449"/>
    <w:rsid w:val="00B312A0"/>
    <w:rsid w:val="00B4564C"/>
    <w:rsid w:val="00B54D27"/>
    <w:rsid w:val="00B61078"/>
    <w:rsid w:val="00B63CBB"/>
    <w:rsid w:val="00B64E76"/>
    <w:rsid w:val="00B653E9"/>
    <w:rsid w:val="00B6603E"/>
    <w:rsid w:val="00B66E16"/>
    <w:rsid w:val="00B70D18"/>
    <w:rsid w:val="00B73395"/>
    <w:rsid w:val="00B73E28"/>
    <w:rsid w:val="00B74918"/>
    <w:rsid w:val="00B77205"/>
    <w:rsid w:val="00B80A46"/>
    <w:rsid w:val="00B8430B"/>
    <w:rsid w:val="00B911A4"/>
    <w:rsid w:val="00B94078"/>
    <w:rsid w:val="00B96234"/>
    <w:rsid w:val="00BA6197"/>
    <w:rsid w:val="00BB43C6"/>
    <w:rsid w:val="00BC0912"/>
    <w:rsid w:val="00BC0F7D"/>
    <w:rsid w:val="00BC1C4E"/>
    <w:rsid w:val="00BC4F9D"/>
    <w:rsid w:val="00BD37EF"/>
    <w:rsid w:val="00BD4089"/>
    <w:rsid w:val="00BD7BE1"/>
    <w:rsid w:val="00BE4C1C"/>
    <w:rsid w:val="00BE6B47"/>
    <w:rsid w:val="00BF4166"/>
    <w:rsid w:val="00BF5673"/>
    <w:rsid w:val="00BF67B6"/>
    <w:rsid w:val="00C006A3"/>
    <w:rsid w:val="00C0168B"/>
    <w:rsid w:val="00C0586A"/>
    <w:rsid w:val="00C06787"/>
    <w:rsid w:val="00C1271A"/>
    <w:rsid w:val="00C1390B"/>
    <w:rsid w:val="00C15E34"/>
    <w:rsid w:val="00C217F5"/>
    <w:rsid w:val="00C33079"/>
    <w:rsid w:val="00C34970"/>
    <w:rsid w:val="00C36192"/>
    <w:rsid w:val="00C45231"/>
    <w:rsid w:val="00C46A01"/>
    <w:rsid w:val="00C5112C"/>
    <w:rsid w:val="00C61556"/>
    <w:rsid w:val="00C61918"/>
    <w:rsid w:val="00C625A5"/>
    <w:rsid w:val="00C628BC"/>
    <w:rsid w:val="00C64406"/>
    <w:rsid w:val="00C65608"/>
    <w:rsid w:val="00C70807"/>
    <w:rsid w:val="00C7130D"/>
    <w:rsid w:val="00C72833"/>
    <w:rsid w:val="00C7390D"/>
    <w:rsid w:val="00C760FA"/>
    <w:rsid w:val="00C76B05"/>
    <w:rsid w:val="00C83E3D"/>
    <w:rsid w:val="00C846F0"/>
    <w:rsid w:val="00C8663F"/>
    <w:rsid w:val="00C86FDC"/>
    <w:rsid w:val="00C87258"/>
    <w:rsid w:val="00C87D88"/>
    <w:rsid w:val="00C9138B"/>
    <w:rsid w:val="00C91596"/>
    <w:rsid w:val="00C93F40"/>
    <w:rsid w:val="00CA3D0C"/>
    <w:rsid w:val="00CA6E33"/>
    <w:rsid w:val="00CB1D87"/>
    <w:rsid w:val="00CB2458"/>
    <w:rsid w:val="00CB29D6"/>
    <w:rsid w:val="00CB31FD"/>
    <w:rsid w:val="00CC5C1A"/>
    <w:rsid w:val="00CD09DA"/>
    <w:rsid w:val="00CE15C3"/>
    <w:rsid w:val="00CE46AB"/>
    <w:rsid w:val="00CE5808"/>
    <w:rsid w:val="00CF5742"/>
    <w:rsid w:val="00D114DF"/>
    <w:rsid w:val="00D119EE"/>
    <w:rsid w:val="00D123C2"/>
    <w:rsid w:val="00D12EAA"/>
    <w:rsid w:val="00D14E83"/>
    <w:rsid w:val="00D27341"/>
    <w:rsid w:val="00D37273"/>
    <w:rsid w:val="00D42B95"/>
    <w:rsid w:val="00D42D7D"/>
    <w:rsid w:val="00D43624"/>
    <w:rsid w:val="00D44256"/>
    <w:rsid w:val="00D52533"/>
    <w:rsid w:val="00D53F9D"/>
    <w:rsid w:val="00D54457"/>
    <w:rsid w:val="00D54621"/>
    <w:rsid w:val="00D54F56"/>
    <w:rsid w:val="00D609AA"/>
    <w:rsid w:val="00D60DC9"/>
    <w:rsid w:val="00D66AFC"/>
    <w:rsid w:val="00D6769C"/>
    <w:rsid w:val="00D7170A"/>
    <w:rsid w:val="00D727B0"/>
    <w:rsid w:val="00D7301E"/>
    <w:rsid w:val="00D734AE"/>
    <w:rsid w:val="00D738D6"/>
    <w:rsid w:val="00D755EB"/>
    <w:rsid w:val="00D81398"/>
    <w:rsid w:val="00D81AE4"/>
    <w:rsid w:val="00D835CE"/>
    <w:rsid w:val="00D84A87"/>
    <w:rsid w:val="00D858AC"/>
    <w:rsid w:val="00D87E00"/>
    <w:rsid w:val="00D9134D"/>
    <w:rsid w:val="00DA3B82"/>
    <w:rsid w:val="00DA7356"/>
    <w:rsid w:val="00DA7A03"/>
    <w:rsid w:val="00DB1818"/>
    <w:rsid w:val="00DB33F4"/>
    <w:rsid w:val="00DB7398"/>
    <w:rsid w:val="00DC0DC7"/>
    <w:rsid w:val="00DC309B"/>
    <w:rsid w:val="00DC4DA2"/>
    <w:rsid w:val="00DC5085"/>
    <w:rsid w:val="00DC666B"/>
    <w:rsid w:val="00DD3471"/>
    <w:rsid w:val="00DD4287"/>
    <w:rsid w:val="00DD6161"/>
    <w:rsid w:val="00DE065F"/>
    <w:rsid w:val="00DE41FF"/>
    <w:rsid w:val="00DF054E"/>
    <w:rsid w:val="00DF2B1F"/>
    <w:rsid w:val="00DF62CD"/>
    <w:rsid w:val="00E00D2D"/>
    <w:rsid w:val="00E1163D"/>
    <w:rsid w:val="00E170F0"/>
    <w:rsid w:val="00E20F21"/>
    <w:rsid w:val="00E268C0"/>
    <w:rsid w:val="00E31078"/>
    <w:rsid w:val="00E318B8"/>
    <w:rsid w:val="00E438CF"/>
    <w:rsid w:val="00E44D45"/>
    <w:rsid w:val="00E53816"/>
    <w:rsid w:val="00E57431"/>
    <w:rsid w:val="00E6178D"/>
    <w:rsid w:val="00E733C2"/>
    <w:rsid w:val="00E741E9"/>
    <w:rsid w:val="00E7444D"/>
    <w:rsid w:val="00E77645"/>
    <w:rsid w:val="00E9095F"/>
    <w:rsid w:val="00E90B98"/>
    <w:rsid w:val="00E91F72"/>
    <w:rsid w:val="00EA1651"/>
    <w:rsid w:val="00EA779E"/>
    <w:rsid w:val="00EC055A"/>
    <w:rsid w:val="00EC0791"/>
    <w:rsid w:val="00EC4A25"/>
    <w:rsid w:val="00EC7D23"/>
    <w:rsid w:val="00ED5846"/>
    <w:rsid w:val="00ED71E2"/>
    <w:rsid w:val="00ED7E67"/>
    <w:rsid w:val="00EF1BB8"/>
    <w:rsid w:val="00EF6B38"/>
    <w:rsid w:val="00EF70CE"/>
    <w:rsid w:val="00EF7288"/>
    <w:rsid w:val="00EF7E12"/>
    <w:rsid w:val="00F025A2"/>
    <w:rsid w:val="00F0471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4A2"/>
    <w:rsid w:val="00F23D25"/>
    <w:rsid w:val="00F32205"/>
    <w:rsid w:val="00F3636F"/>
    <w:rsid w:val="00F47487"/>
    <w:rsid w:val="00F542B1"/>
    <w:rsid w:val="00F54B09"/>
    <w:rsid w:val="00F576A9"/>
    <w:rsid w:val="00F653B8"/>
    <w:rsid w:val="00F673FF"/>
    <w:rsid w:val="00F71AE2"/>
    <w:rsid w:val="00F748D5"/>
    <w:rsid w:val="00F749ED"/>
    <w:rsid w:val="00F75B28"/>
    <w:rsid w:val="00F8372E"/>
    <w:rsid w:val="00FA1266"/>
    <w:rsid w:val="00FA14D3"/>
    <w:rsid w:val="00FB49A0"/>
    <w:rsid w:val="00FC1192"/>
    <w:rsid w:val="00FC293C"/>
    <w:rsid w:val="00FC409F"/>
    <w:rsid w:val="00FC6C09"/>
    <w:rsid w:val="00FC74BB"/>
    <w:rsid w:val="00FD0468"/>
    <w:rsid w:val="00FD2D92"/>
    <w:rsid w:val="00FE271F"/>
    <w:rsid w:val="00FE435A"/>
    <w:rsid w:val="00FE552C"/>
    <w:rsid w:val="00FF0C9B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353849A8-909E-4172-BF70-37E47874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4BB"/>
    <w:pPr>
      <w:spacing w:after="180" w:line="360" w:lineRule="auto"/>
      <w:jc w:val="both"/>
    </w:pPr>
    <w:rPr>
      <w:rFonts w:ascii="Segoe UI" w:hAnsi="Segoe UI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902C2"/>
    <w:pPr>
      <w:numPr>
        <w:numId w:val="1"/>
      </w:numPr>
      <w:spacing w:after="120"/>
      <w:contextualSpacing/>
    </w:pPr>
    <w:rPr>
      <w:rFonts w:eastAsia="Calibri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63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3902C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3902C2"/>
    <w:rPr>
      <w:rFonts w:ascii="Segoe UI" w:hAnsi="Segoe UI"/>
      <w:lang w:val="en-GB"/>
    </w:rPr>
  </w:style>
  <w:style w:type="character" w:styleId="FootnoteReference">
    <w:name w:val="footnote reference"/>
    <w:basedOn w:val="DefaultParagraphFont"/>
    <w:semiHidden/>
    <w:unhideWhenUsed/>
    <w:rsid w:val="003902C2"/>
    <w:rPr>
      <w:vertAlign w:val="superscript"/>
    </w:rPr>
  </w:style>
  <w:style w:type="character" w:customStyle="1" w:styleId="NOZchn">
    <w:name w:val="NO Zchn"/>
    <w:link w:val="NO"/>
    <w:rsid w:val="00C86FDC"/>
    <w:rPr>
      <w:rFonts w:ascii="Segoe UI" w:hAnsi="Segoe UI"/>
      <w:lang w:val="en-GB"/>
    </w:rPr>
  </w:style>
  <w:style w:type="character" w:customStyle="1" w:styleId="Heading4Char">
    <w:name w:val="Heading 4 Char"/>
    <w:link w:val="Heading4"/>
    <w:locked/>
    <w:rsid w:val="00194146"/>
    <w:rPr>
      <w:rFonts w:ascii="Arial" w:hAnsi="Arial"/>
      <w:sz w:val="24"/>
      <w:lang w:val="en-GB"/>
    </w:rPr>
  </w:style>
  <w:style w:type="character" w:customStyle="1" w:styleId="TAHCar">
    <w:name w:val="TAH Car"/>
    <w:link w:val="TAH"/>
    <w:rsid w:val="0019414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19414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422A2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22A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3422A2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22A2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3422A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rsid w:val="003422A2"/>
    <w:rPr>
      <w:rFonts w:ascii="Arial" w:hAnsi="Arial"/>
      <w:b/>
      <w:noProof/>
      <w:sz w:val="18"/>
      <w:lang w:val="en-GB" w:eastAsia="ja-JP"/>
    </w:rPr>
  </w:style>
  <w:style w:type="character" w:customStyle="1" w:styleId="NOChar">
    <w:name w:val="NO Char"/>
    <w:rsid w:val="003422A2"/>
    <w:rPr>
      <w:color w:val="000000"/>
      <w:lang w:eastAsia="ja-JP"/>
    </w:rPr>
  </w:style>
  <w:style w:type="character" w:customStyle="1" w:styleId="EXChar">
    <w:name w:val="EX Char"/>
    <w:link w:val="EX"/>
    <w:locked/>
    <w:rsid w:val="003422A2"/>
    <w:rPr>
      <w:rFonts w:ascii="Segoe UI" w:hAnsi="Segoe UI"/>
      <w:lang w:val="en-GB"/>
    </w:rPr>
  </w:style>
  <w:style w:type="character" w:customStyle="1" w:styleId="EditorsNoteChar">
    <w:name w:val="Editor's Note Char"/>
    <w:link w:val="EditorsNote"/>
    <w:rsid w:val="003422A2"/>
    <w:rPr>
      <w:rFonts w:ascii="Segoe UI" w:hAnsi="Segoe UI"/>
      <w:color w:val="FF0000"/>
      <w:lang w:val="en-GB"/>
    </w:rPr>
  </w:style>
  <w:style w:type="character" w:customStyle="1" w:styleId="B2Char">
    <w:name w:val="B2 Char"/>
    <w:link w:val="B2"/>
    <w:rsid w:val="003422A2"/>
    <w:rPr>
      <w:rFonts w:ascii="Segoe UI" w:hAnsi="Segoe UI"/>
      <w:lang w:val="en-GB"/>
    </w:rPr>
  </w:style>
  <w:style w:type="paragraph" w:customStyle="1" w:styleId="HO">
    <w:name w:val="HO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ascii="Times New Roman" w:hAnsi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3422A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AP">
    <w:name w:val="AP"/>
    <w:basedOn w:val="Normal"/>
    <w:rsid w:val="003422A2"/>
    <w:pPr>
      <w:overflowPunct w:val="0"/>
      <w:autoSpaceDE w:val="0"/>
      <w:autoSpaceDN w:val="0"/>
      <w:adjustRightInd w:val="0"/>
      <w:spacing w:line="240" w:lineRule="auto"/>
      <w:ind w:left="2127" w:hanging="2127"/>
      <w:jc w:val="left"/>
      <w:textAlignment w:val="baseline"/>
    </w:pPr>
    <w:rPr>
      <w:rFonts w:ascii="Times New Roman" w:eastAsia="SimSun" w:hAnsi="Times New Roma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422A2"/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422A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Hyperlink">
    <w:name w:val="Hyperlink"/>
    <w:uiPriority w:val="99"/>
    <w:unhideWhenUsed/>
    <w:rsid w:val="003422A2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3422A2"/>
    <w:rPr>
      <w:color w:val="2B579A"/>
      <w:shd w:val="clear" w:color="auto" w:fill="E6E6E6"/>
    </w:rPr>
  </w:style>
  <w:style w:type="paragraph" w:customStyle="1" w:styleId="ZC">
    <w:name w:val="ZC"/>
    <w:rsid w:val="003422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/>
    </w:rPr>
  </w:style>
  <w:style w:type="paragraph" w:customStyle="1" w:styleId="ZK">
    <w:name w:val="ZK"/>
    <w:rsid w:val="003422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/>
    </w:rPr>
  </w:style>
  <w:style w:type="paragraph" w:customStyle="1" w:styleId="HE">
    <w:name w:val="HE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3422A2"/>
    <w:rPr>
      <w:color w:val="808080"/>
      <w:shd w:val="clear" w:color="auto" w:fill="E6E6E6"/>
    </w:rPr>
  </w:style>
  <w:style w:type="paragraph" w:styleId="List">
    <w:name w:val="List"/>
    <w:basedOn w:val="Normal"/>
    <w:rsid w:val="003422A2"/>
    <w:pPr>
      <w:spacing w:line="240" w:lineRule="auto"/>
      <w:ind w:left="283" w:hanging="283"/>
      <w:contextualSpacing/>
      <w:jc w:val="left"/>
    </w:pPr>
    <w:rPr>
      <w:rFonts w:ascii="Times New Roman" w:hAnsi="Times New Roman"/>
    </w:rPr>
  </w:style>
  <w:style w:type="paragraph" w:styleId="List2">
    <w:name w:val="List 2"/>
    <w:basedOn w:val="Normal"/>
    <w:rsid w:val="003422A2"/>
    <w:pPr>
      <w:spacing w:line="240" w:lineRule="auto"/>
      <w:ind w:left="566" w:hanging="283"/>
      <w:contextualSpacing/>
      <w:jc w:val="left"/>
    </w:pPr>
    <w:rPr>
      <w:rFonts w:ascii="Times New Roman" w:hAnsi="Times New Roman"/>
    </w:rPr>
  </w:style>
  <w:style w:type="paragraph" w:styleId="List3">
    <w:name w:val="List 3"/>
    <w:basedOn w:val="Normal"/>
    <w:rsid w:val="003422A2"/>
    <w:pPr>
      <w:spacing w:line="240" w:lineRule="auto"/>
      <w:ind w:left="849" w:hanging="283"/>
      <w:contextualSpacing/>
      <w:jc w:val="left"/>
    </w:pPr>
    <w:rPr>
      <w:rFonts w:ascii="Times New Roman" w:hAnsi="Times New Roman"/>
    </w:rPr>
  </w:style>
  <w:style w:type="paragraph" w:styleId="List4">
    <w:name w:val="List 4"/>
    <w:basedOn w:val="Normal"/>
    <w:rsid w:val="003422A2"/>
    <w:pPr>
      <w:spacing w:line="240" w:lineRule="auto"/>
      <w:ind w:left="1132" w:hanging="283"/>
      <w:contextualSpacing/>
      <w:jc w:val="left"/>
    </w:pPr>
    <w:rPr>
      <w:rFonts w:ascii="Times New Roman" w:hAnsi="Times New Roman"/>
    </w:rPr>
  </w:style>
  <w:style w:type="paragraph" w:styleId="List5">
    <w:name w:val="List 5"/>
    <w:basedOn w:val="Normal"/>
    <w:rsid w:val="003422A2"/>
    <w:pPr>
      <w:spacing w:line="240" w:lineRule="auto"/>
      <w:ind w:left="1415" w:hanging="283"/>
      <w:contextualSpacing/>
      <w:jc w:val="left"/>
    </w:pPr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qFormat/>
    <w:rsid w:val="00C7390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7390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BA347-A4ED-46C4-A88C-7C507BB3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10" baseType="lpstr">
      <vt:lpstr/>
      <vt:lpstr/>
      <vt:lpstr>    Context</vt:lpstr>
      <vt:lpstr>    What is NEF? (cf. TS 23502 and TS 29.522)</vt:lpstr>
      <vt:lpstr>    NEF Procedures: (cf TS 29 522)</vt:lpstr>
      <vt:lpstr>        TS 33126 requirements</vt:lpstr>
      <vt:lpstr>        </vt:lpstr>
      <vt:lpstr>        Proposal </vt:lpstr>
      <vt:lpstr/>
      <vt:lpstr/>
    </vt:vector>
  </TitlesOfParts>
  <Company>MINEFI</Company>
  <LinksUpToDate>false</LinksUpToDate>
  <CharactersWithSpaces>2179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Alexander Markman</cp:lastModifiedBy>
  <cp:revision>4</cp:revision>
  <cp:lastPrinted>2018-09-20T06:17:00Z</cp:lastPrinted>
  <dcterms:created xsi:type="dcterms:W3CDTF">2019-08-27T01:13:00Z</dcterms:created>
  <dcterms:modified xsi:type="dcterms:W3CDTF">2019-08-27T02:23:00Z</dcterms:modified>
</cp:coreProperties>
</file>